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FC00" w14:textId="77777777" w:rsidR="00AF2C43" w:rsidRPr="006E18A4" w:rsidRDefault="00D97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255" w:right="196"/>
        <w:jc w:val="center"/>
        <w:rPr>
          <w:rFonts w:asciiTheme="majorHAnsi" w:hAnsiTheme="majorHAnsi" w:cstheme="majorHAnsi"/>
          <w:color w:val="000000"/>
        </w:rPr>
      </w:pPr>
      <w:r w:rsidRPr="006E18A4">
        <w:rPr>
          <w:rFonts w:asciiTheme="majorHAnsi" w:hAnsiTheme="majorHAnsi" w:cstheme="majorHAnsi"/>
          <w:noProof/>
          <w:color w:val="000000"/>
          <w:lang w:eastAsia="en-US"/>
        </w:rPr>
        <w:drawing>
          <wp:inline distT="19050" distB="19050" distL="19050" distR="19050" wp14:anchorId="5999CDC3" wp14:editId="619A3C41">
            <wp:extent cx="4788535" cy="768285"/>
            <wp:effectExtent l="0" t="0" r="0" b="0"/>
            <wp:docPr id="1" name="image1.png" descr="Logo for the Network of the U.S. National Library of Medici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76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B5884E" w14:textId="30B2789C" w:rsidR="00AF2C43" w:rsidRPr="000F584C" w:rsidRDefault="00D9708F" w:rsidP="000F584C">
      <w:pPr>
        <w:pStyle w:val="Title"/>
        <w:rPr>
          <w:sz w:val="36"/>
        </w:rPr>
      </w:pPr>
      <w:r w:rsidRPr="000F584C">
        <w:rPr>
          <w:sz w:val="36"/>
        </w:rPr>
        <w:t xml:space="preserve">Effective Health Communication and Health Literacy Resource List </w:t>
      </w:r>
    </w:p>
    <w:p w14:paraId="163B164B" w14:textId="77777777" w:rsidR="00AF2C43" w:rsidRPr="006E18A4" w:rsidRDefault="00D9708F" w:rsidP="000F584C">
      <w:pPr>
        <w:pStyle w:val="Heading1"/>
      </w:pPr>
      <w:r w:rsidRPr="006E18A4">
        <w:t xml:space="preserve">Resources covered in webinar </w:t>
      </w:r>
    </w:p>
    <w:p w14:paraId="73D2FBC2" w14:textId="3826447A" w:rsidR="00AF2C43" w:rsidRDefault="009C0AAD" w:rsidP="000F584C">
      <w:pPr>
        <w:pStyle w:val="Heading2"/>
        <w:rPr>
          <w:rFonts w:cstheme="minorHAnsi"/>
          <w:u w:val="single"/>
        </w:rPr>
      </w:pPr>
      <w:hyperlink r:id="rId8" w:history="1">
        <w:r w:rsidR="00D9708F" w:rsidRPr="005A3445">
          <w:rPr>
            <w:rStyle w:val="Hyperlink"/>
            <w:rFonts w:cstheme="minorHAnsi"/>
          </w:rPr>
          <w:t>AHRQ Health Literacy Universal Precautions Toolkit</w:t>
        </w:r>
      </w:hyperlink>
      <w:r w:rsidR="00D9708F" w:rsidRPr="005A3445">
        <w:rPr>
          <w:rFonts w:cstheme="minorHAnsi"/>
          <w:u w:val="single"/>
        </w:rPr>
        <w:t xml:space="preserve"> </w:t>
      </w:r>
    </w:p>
    <w:p w14:paraId="618E4F00" w14:textId="541314CE" w:rsidR="000400D8" w:rsidRPr="000400D8" w:rsidRDefault="000400D8" w:rsidP="000400D8">
      <w:r w:rsidRPr="000400D8">
        <w:t>AHRQ Health Literacy Universal Precautions Toolkit. Content last reviewed September 2020. Agency for Healthcare Research and</w:t>
      </w:r>
      <w:r>
        <w:t xml:space="preserve"> Quality, Rockville, MD. </w:t>
      </w:r>
      <w:r w:rsidR="0080550F" w:rsidRPr="0080550F">
        <w:t>Available from:</w:t>
      </w:r>
      <w:r w:rsidR="0080550F">
        <w:t xml:space="preserve"> </w:t>
      </w:r>
      <w:hyperlink r:id="rId9" w:history="1">
        <w:r w:rsidRPr="001E514A">
          <w:rPr>
            <w:rStyle w:val="Hyperlink"/>
          </w:rPr>
          <w:t>https://www.ahrq.gov/health-literacy/improve/precautions/index.html</w:t>
        </w:r>
      </w:hyperlink>
      <w:r>
        <w:t xml:space="preserve"> </w:t>
      </w:r>
    </w:p>
    <w:p w14:paraId="2D938A1B" w14:textId="51E29DC5" w:rsidR="00AF2C43" w:rsidRDefault="009C0AAD" w:rsidP="000F584C">
      <w:pPr>
        <w:pStyle w:val="Heading2"/>
        <w:rPr>
          <w:color w:val="0563C1"/>
        </w:rPr>
      </w:pPr>
      <w:hyperlink r:id="rId10" w:history="1">
        <w:r w:rsidR="0080550F">
          <w:rPr>
            <w:rStyle w:val="Hyperlink"/>
            <w:rFonts w:cstheme="minorHAnsi"/>
          </w:rPr>
          <w:t>Suitability Assessment of Materials</w:t>
        </w:r>
      </w:hyperlink>
      <w:r w:rsidR="00D9708F" w:rsidRPr="005A3445">
        <w:rPr>
          <w:color w:val="0563C1"/>
        </w:rPr>
        <w:t xml:space="preserve"> </w:t>
      </w:r>
    </w:p>
    <w:p w14:paraId="5E657938" w14:textId="3304B497" w:rsidR="000400D8" w:rsidRDefault="0080550F" w:rsidP="000400D8">
      <w:r w:rsidRPr="0080550F">
        <w:t>“</w:t>
      </w:r>
      <w:r>
        <w:t xml:space="preserve">Chapter 4: </w:t>
      </w:r>
      <w:r w:rsidRPr="0080550F">
        <w:t>Assessing Suitability of Materials.”</w:t>
      </w:r>
      <w:r w:rsidR="00623DAB">
        <w:t xml:space="preserve"> </w:t>
      </w:r>
      <w:proofErr w:type="spellStart"/>
      <w:r w:rsidR="000400D8">
        <w:t>Doak</w:t>
      </w:r>
      <w:proofErr w:type="spellEnd"/>
      <w:r w:rsidR="000400D8">
        <w:t xml:space="preserve">, C. C., </w:t>
      </w:r>
      <w:proofErr w:type="spellStart"/>
      <w:r w:rsidR="000400D8">
        <w:t>Doak</w:t>
      </w:r>
      <w:proofErr w:type="spellEnd"/>
      <w:r w:rsidR="000400D8">
        <w:t xml:space="preserve">, L. G. &amp; Root, J. H. (1996). </w:t>
      </w:r>
      <w:r w:rsidR="000400D8" w:rsidRPr="000400D8">
        <w:rPr>
          <w:i/>
        </w:rPr>
        <w:t>Teaching Patients with Low Literacy Skills</w:t>
      </w:r>
      <w:r w:rsidR="000400D8">
        <w:t xml:space="preserve"> (2nd Ed.). Philadelphia: J.</w:t>
      </w:r>
      <w:r>
        <w:t xml:space="preserve"> B. Lippincott Company, pages 41</w:t>
      </w:r>
      <w:r w:rsidR="000400D8">
        <w:t>-</w:t>
      </w:r>
      <w:r>
        <w:t>60</w:t>
      </w:r>
      <w:r w:rsidR="000400D8">
        <w:t xml:space="preserve">. </w:t>
      </w:r>
      <w:r w:rsidR="000F02BC">
        <w:t xml:space="preserve">Available from: </w:t>
      </w:r>
      <w:hyperlink r:id="rId11" w:history="1">
        <w:r w:rsidR="000F02BC" w:rsidRPr="000C28A3">
          <w:rPr>
            <w:rStyle w:val="Hyperlink"/>
          </w:rPr>
          <w:t>https://www.hsph.harvard.edu/healthliteracy/resources/teaching-patients-with-low-literacy-skills/</w:t>
        </w:r>
      </w:hyperlink>
      <w:r w:rsidR="000F02BC">
        <w:t xml:space="preserve"> </w:t>
      </w:r>
    </w:p>
    <w:p w14:paraId="5690E4B0" w14:textId="71C62795" w:rsidR="005860C2" w:rsidRPr="000400D8" w:rsidRDefault="005860C2" w:rsidP="000400D8">
      <w:r>
        <w:t xml:space="preserve">Also available from: </w:t>
      </w:r>
      <w:hyperlink r:id="rId12" w:history="1">
        <w:r w:rsidRPr="000C28A3">
          <w:rPr>
            <w:rStyle w:val="Hyperlink"/>
          </w:rPr>
          <w:t>https://aspiruslibrary.org/literacy/sam.pdf</w:t>
        </w:r>
      </w:hyperlink>
      <w:r>
        <w:t xml:space="preserve"> </w:t>
      </w:r>
    </w:p>
    <w:p w14:paraId="1A881294" w14:textId="76B483BB" w:rsidR="00AF2C43" w:rsidRDefault="009C0AAD" w:rsidP="000F584C">
      <w:pPr>
        <w:pStyle w:val="Heading2"/>
        <w:rPr>
          <w:rFonts w:cstheme="minorHAnsi"/>
          <w:color w:val="0563C1"/>
          <w:u w:val="single"/>
        </w:rPr>
      </w:pPr>
      <w:hyperlink r:id="rId13" w:history="1">
        <w:r w:rsidR="00D9708F" w:rsidRPr="005A3445">
          <w:rPr>
            <w:rStyle w:val="Hyperlink"/>
            <w:rFonts w:cstheme="minorHAnsi"/>
          </w:rPr>
          <w:t>MedlinePlus</w:t>
        </w:r>
      </w:hyperlink>
      <w:r w:rsidR="00D9708F" w:rsidRPr="005A3445">
        <w:rPr>
          <w:rFonts w:cstheme="minorHAnsi"/>
          <w:color w:val="0563C1"/>
          <w:u w:val="single"/>
        </w:rPr>
        <w:t xml:space="preserve"> </w:t>
      </w:r>
    </w:p>
    <w:p w14:paraId="062E83E4" w14:textId="671181CB" w:rsidR="0080550F" w:rsidRPr="0080550F" w:rsidRDefault="0080550F" w:rsidP="0080550F">
      <w:r w:rsidRPr="0080550F">
        <w:t xml:space="preserve">MedlinePlus [Internet]. Bethesda (MD): United States National Library of Medicine; [1998 Oct] - [cited 2023 </w:t>
      </w:r>
      <w:r>
        <w:t>Oct 24</w:t>
      </w:r>
      <w:r w:rsidRPr="0080550F">
        <w:t xml:space="preserve">]. Available from: </w:t>
      </w:r>
      <w:hyperlink r:id="rId14" w:history="1">
        <w:r w:rsidRPr="001E514A">
          <w:rPr>
            <w:rStyle w:val="Hyperlink"/>
          </w:rPr>
          <w:t>http://www.nlm.nih.gov/medlineplus/</w:t>
        </w:r>
      </w:hyperlink>
      <w:r>
        <w:t xml:space="preserve"> </w:t>
      </w:r>
      <w:r w:rsidRPr="0080550F">
        <w:t xml:space="preserve"> </w:t>
      </w:r>
    </w:p>
    <w:p w14:paraId="5DA98B49" w14:textId="24437EBB" w:rsidR="00AF2C43" w:rsidRDefault="009C0AAD" w:rsidP="000F584C">
      <w:pPr>
        <w:pStyle w:val="Heading2"/>
        <w:rPr>
          <w:rFonts w:cstheme="minorHAnsi"/>
          <w:color w:val="0563C1"/>
          <w:u w:val="single"/>
        </w:rPr>
      </w:pPr>
      <w:hyperlink r:id="rId15" w:history="1">
        <w:proofErr w:type="spellStart"/>
        <w:r w:rsidR="00D9708F" w:rsidRPr="005A3445">
          <w:rPr>
            <w:rStyle w:val="Hyperlink"/>
            <w:rFonts w:cstheme="minorHAnsi"/>
          </w:rPr>
          <w:t>EthnoMed</w:t>
        </w:r>
        <w:proofErr w:type="spellEnd"/>
      </w:hyperlink>
      <w:r w:rsidR="00D9708F" w:rsidRPr="005A3445">
        <w:rPr>
          <w:rFonts w:cstheme="minorHAnsi"/>
          <w:color w:val="0563C1"/>
          <w:u w:val="single"/>
        </w:rPr>
        <w:t xml:space="preserve"> </w:t>
      </w:r>
    </w:p>
    <w:p w14:paraId="4C618B53" w14:textId="4D8D24A3" w:rsidR="003A584E" w:rsidRPr="003A584E" w:rsidRDefault="003A584E" w:rsidP="003A584E">
      <w:proofErr w:type="spellStart"/>
      <w:r>
        <w:t>EthnoMed</w:t>
      </w:r>
      <w:proofErr w:type="spellEnd"/>
      <w:r>
        <w:t xml:space="preserve"> [Internet] Seattle (WA):  </w:t>
      </w:r>
      <w:r w:rsidRPr="003A584E">
        <w:t>Harborview Medical Center</w:t>
      </w:r>
      <w:r>
        <w:t xml:space="preserve">, </w:t>
      </w:r>
      <w:r w:rsidRPr="003A584E">
        <w:t>University of Washington</w:t>
      </w:r>
      <w:r>
        <w:t>; [</w:t>
      </w:r>
      <w:r w:rsidRPr="003A584E">
        <w:t xml:space="preserve">1995 </w:t>
      </w:r>
      <w:r>
        <w:t>–</w:t>
      </w:r>
      <w:r w:rsidRPr="003A584E">
        <w:t xml:space="preserve"> 2023</w:t>
      </w:r>
      <w:r>
        <w:t xml:space="preserve">] - </w:t>
      </w:r>
      <w:r w:rsidRPr="003A584E">
        <w:t>[cited 2023 Oct 24]</w:t>
      </w:r>
      <w:r w:rsidR="00623DAB">
        <w:t>.</w:t>
      </w:r>
      <w:r>
        <w:t xml:space="preserve"> Available from: </w:t>
      </w:r>
      <w:hyperlink r:id="rId16" w:history="1">
        <w:r w:rsidRPr="001E514A">
          <w:rPr>
            <w:rStyle w:val="Hyperlink"/>
          </w:rPr>
          <w:t>https://ethnomed.org/</w:t>
        </w:r>
      </w:hyperlink>
      <w:r>
        <w:t xml:space="preserve"> </w:t>
      </w:r>
    </w:p>
    <w:p w14:paraId="4C51672E" w14:textId="2F10273A" w:rsidR="00AF2C43" w:rsidRDefault="009C0AAD" w:rsidP="000F584C">
      <w:pPr>
        <w:pStyle w:val="Heading2"/>
        <w:rPr>
          <w:rStyle w:val="Hyperlink"/>
          <w:rFonts w:cstheme="minorHAnsi"/>
        </w:rPr>
      </w:pPr>
      <w:hyperlink r:id="rId17" w:history="1">
        <w:r w:rsidR="00ED78EB" w:rsidRPr="005A3445">
          <w:rPr>
            <w:rStyle w:val="Hyperlink"/>
            <w:rFonts w:cstheme="minorHAnsi"/>
          </w:rPr>
          <w:t>Indian Health Service</w:t>
        </w:r>
      </w:hyperlink>
    </w:p>
    <w:p w14:paraId="600EB3AF" w14:textId="3F40DCEC" w:rsidR="003A584E" w:rsidRPr="00623DAB" w:rsidRDefault="003A584E" w:rsidP="003A584E">
      <w:pPr>
        <w:rPr>
          <w:b/>
        </w:rPr>
      </w:pPr>
      <w:r>
        <w:t xml:space="preserve">Indian Health </w:t>
      </w:r>
      <w:r w:rsidR="00E00F39">
        <w:t>Service</w:t>
      </w:r>
      <w:r w:rsidRPr="003A584E">
        <w:t xml:space="preserve"> [Internet] Rockville, MD: </w:t>
      </w:r>
      <w:r>
        <w:t xml:space="preserve"> United States Department of Health and Human Services </w:t>
      </w:r>
      <w:r w:rsidRPr="003A584E">
        <w:t>[</w:t>
      </w:r>
      <w:r>
        <w:t>n.d.</w:t>
      </w:r>
      <w:r w:rsidRPr="003A584E">
        <w:t>] - [cited 2023 Oct 24]</w:t>
      </w:r>
      <w:r w:rsidR="00623DAB">
        <w:t>.</w:t>
      </w:r>
      <w:r w:rsidRPr="003A584E">
        <w:t xml:space="preserve"> </w:t>
      </w:r>
      <w:r>
        <w:t xml:space="preserve">Available from: </w:t>
      </w:r>
      <w:hyperlink r:id="rId18" w:history="1">
        <w:r w:rsidRPr="001E514A">
          <w:rPr>
            <w:rStyle w:val="Hyperlink"/>
          </w:rPr>
          <w:t>https://www.ihs.gov/</w:t>
        </w:r>
      </w:hyperlink>
      <w:r>
        <w:t xml:space="preserve"> </w:t>
      </w:r>
    </w:p>
    <w:p w14:paraId="594E7D9D" w14:textId="65DBE429" w:rsidR="00343089" w:rsidRDefault="00343089" w:rsidP="000F584C">
      <w:pPr>
        <w:pStyle w:val="Heading1"/>
      </w:pPr>
      <w:r>
        <w:t>Citations from webinar</w:t>
      </w:r>
    </w:p>
    <w:p w14:paraId="3FCCDAAD" w14:textId="13EC9635" w:rsidR="00343089" w:rsidRDefault="00343089" w:rsidP="00343089">
      <w:r w:rsidRPr="00AC1A85">
        <w:rPr>
          <w:i/>
        </w:rPr>
        <w:t>Health Literacy in Healthy People 2030</w:t>
      </w:r>
      <w:r w:rsidR="00FB6979">
        <w:t xml:space="preserve">. </w:t>
      </w:r>
      <w:r w:rsidR="00FB6979" w:rsidRPr="00FB6979">
        <w:t>Office of Disease Prevention and Health Promotion, Office of the Assistant Secretary for Health, Office of the Secretary, U.S. Department of Health and Human Services.</w:t>
      </w:r>
      <w:r w:rsidR="00FB6979">
        <w:t xml:space="preserve"> Available from: </w:t>
      </w:r>
      <w:hyperlink r:id="rId19" w:history="1">
        <w:r w:rsidR="00FB6979" w:rsidRPr="000C28A3">
          <w:rPr>
            <w:rStyle w:val="Hyperlink"/>
          </w:rPr>
          <w:t>https://health.gov/healthypeople/priority-areas/health-literacy-healthy-people-2030</w:t>
        </w:r>
      </w:hyperlink>
      <w:r w:rsidR="00FB6979">
        <w:t xml:space="preserve"> </w:t>
      </w:r>
    </w:p>
    <w:p w14:paraId="4A8E7A5C" w14:textId="40D98090" w:rsidR="00C31259" w:rsidRDefault="00C31259" w:rsidP="00C31259">
      <w:r w:rsidRPr="00C31259">
        <w:t>Helen Osborne.</w:t>
      </w:r>
      <w:r>
        <w:t xml:space="preserve"> </w:t>
      </w:r>
      <w:r w:rsidRPr="00C31259">
        <w:rPr>
          <w:i/>
        </w:rPr>
        <w:t>Health Literacy from A to Z: Practical Ways to Communicate Your Health Message</w:t>
      </w:r>
      <w:r w:rsidRPr="00C31259">
        <w:t>.</w:t>
      </w:r>
      <w:r>
        <w:t xml:space="preserve"> </w:t>
      </w:r>
      <w:r w:rsidRPr="00C31259">
        <w:t xml:space="preserve">Jones and Bartlett Publishers: Sudbury, Mass. </w:t>
      </w:r>
      <w:r>
        <w:t xml:space="preserve">March </w:t>
      </w:r>
      <w:r w:rsidRPr="00C31259">
        <w:t>20</w:t>
      </w:r>
      <w:r>
        <w:t>22</w:t>
      </w:r>
      <w:r w:rsidRPr="00C31259">
        <w:t>. ISBN</w:t>
      </w:r>
      <w:r>
        <w:t xml:space="preserve"> Print</w:t>
      </w:r>
      <w:r w:rsidRPr="00C31259">
        <w:t xml:space="preserve">: </w:t>
      </w:r>
      <w:r w:rsidRPr="00C31259">
        <w:t xml:space="preserve">978-1-63618-175-2 </w:t>
      </w:r>
    </w:p>
    <w:p w14:paraId="7325DA25" w14:textId="06024E2B" w:rsidR="00C31259" w:rsidRDefault="00C31259" w:rsidP="00C31259">
      <w:r w:rsidRPr="00C31259">
        <w:t xml:space="preserve">Mira JJ, Lorenzo S, </w:t>
      </w:r>
      <w:proofErr w:type="spellStart"/>
      <w:r w:rsidRPr="00C31259">
        <w:t>Guilabert</w:t>
      </w:r>
      <w:proofErr w:type="spellEnd"/>
      <w:r w:rsidRPr="00C31259">
        <w:t xml:space="preserve"> M, Navarro I, Pérez-</w:t>
      </w:r>
      <w:proofErr w:type="spellStart"/>
      <w:r w:rsidRPr="00C31259">
        <w:t>Jover</w:t>
      </w:r>
      <w:proofErr w:type="spellEnd"/>
      <w:r w:rsidRPr="00C31259">
        <w:t xml:space="preserve"> V. A systematic review of patient medication error on self-administering medication at home. </w:t>
      </w:r>
      <w:r w:rsidRPr="00AC1A85">
        <w:rPr>
          <w:i/>
        </w:rPr>
        <w:t xml:space="preserve">Expert </w:t>
      </w:r>
      <w:proofErr w:type="spellStart"/>
      <w:r w:rsidRPr="00AC1A85">
        <w:rPr>
          <w:i/>
        </w:rPr>
        <w:t>Opin</w:t>
      </w:r>
      <w:proofErr w:type="spellEnd"/>
      <w:r w:rsidRPr="00AC1A85">
        <w:rPr>
          <w:i/>
        </w:rPr>
        <w:t xml:space="preserve"> Drug </w:t>
      </w:r>
      <w:proofErr w:type="spellStart"/>
      <w:r w:rsidRPr="00AC1A85">
        <w:rPr>
          <w:i/>
        </w:rPr>
        <w:t>Saf</w:t>
      </w:r>
      <w:proofErr w:type="spellEnd"/>
      <w:r w:rsidRPr="00C31259">
        <w:t>. 2015;14(6):815-838. doi:10.1517/14740338.2015.1026326</w:t>
      </w:r>
      <w:r w:rsidR="00FC0B53">
        <w:t xml:space="preserve"> </w:t>
      </w:r>
    </w:p>
    <w:p w14:paraId="37C5C5C5" w14:textId="77777777" w:rsidR="00215385" w:rsidRDefault="00215385" w:rsidP="00215385">
      <w:r w:rsidRPr="00215385">
        <w:t xml:space="preserve">Balsa AI, McGuire TG. Statistical discrimination in health care. </w:t>
      </w:r>
      <w:r w:rsidRPr="00AC1A85">
        <w:rPr>
          <w:i/>
        </w:rPr>
        <w:t>J Health Econ</w:t>
      </w:r>
      <w:r w:rsidRPr="00215385">
        <w:t>. 2001;20(6):881-907. doi:10.1016/s0167-6296(01)00101-1</w:t>
      </w:r>
    </w:p>
    <w:p w14:paraId="6D87CDB7" w14:textId="3940DB34" w:rsidR="00FC0B53" w:rsidRDefault="00FC0B53" w:rsidP="00C31259">
      <w:r w:rsidRPr="00AC1A85">
        <w:rPr>
          <w:i/>
        </w:rPr>
        <w:t>National Assessment of Adult Literacy (NAAL).</w:t>
      </w:r>
      <w:r w:rsidR="0083207D" w:rsidRPr="00AC1A85">
        <w:rPr>
          <w:i/>
        </w:rPr>
        <w:t xml:space="preserve"> </w:t>
      </w:r>
      <w:r w:rsidR="0083207D">
        <w:t xml:space="preserve">[Internet] </w:t>
      </w:r>
      <w:r w:rsidR="0083207D" w:rsidRPr="0083207D">
        <w:t>Washington, DC</w:t>
      </w:r>
      <w:r w:rsidR="0083207D">
        <w:t>:</w:t>
      </w:r>
      <w:r>
        <w:t xml:space="preserve"> </w:t>
      </w:r>
      <w:r w:rsidR="0083207D">
        <w:t xml:space="preserve">U.S. </w:t>
      </w:r>
      <w:r>
        <w:t>National Center for Education Statistics</w:t>
      </w:r>
      <w:r w:rsidR="0083207D">
        <w:t xml:space="preserve"> [</w:t>
      </w:r>
      <w:r w:rsidR="0083207D" w:rsidRPr="0083207D">
        <w:t>2003</w:t>
      </w:r>
      <w:r w:rsidR="0083207D">
        <w:t xml:space="preserve">]. </w:t>
      </w:r>
      <w:r>
        <w:t xml:space="preserve">Available from: </w:t>
      </w:r>
      <w:hyperlink r:id="rId20" w:history="1">
        <w:r w:rsidR="0083207D" w:rsidRPr="000C28A3">
          <w:rPr>
            <w:rStyle w:val="Hyperlink"/>
          </w:rPr>
          <w:t>https://nces.ed.gov/naal/index.asp</w:t>
        </w:r>
      </w:hyperlink>
      <w:r w:rsidR="0083207D">
        <w:t xml:space="preserve"> </w:t>
      </w:r>
    </w:p>
    <w:p w14:paraId="095F28FF" w14:textId="090CF1C7" w:rsidR="00215385" w:rsidRDefault="00215385" w:rsidP="00215385">
      <w:r>
        <w:lastRenderedPageBreak/>
        <w:t xml:space="preserve">Kirsch IS, </w:t>
      </w:r>
      <w:proofErr w:type="spellStart"/>
      <w:r>
        <w:t>Jungeblut</w:t>
      </w:r>
      <w:proofErr w:type="spellEnd"/>
      <w:r>
        <w:t xml:space="preserve"> A, Jenkins L, Kolstad A. 1993. </w:t>
      </w:r>
      <w:r w:rsidRPr="00AC1A85">
        <w:rPr>
          <w:i/>
        </w:rPr>
        <w:t>Adult Literacy in America: A First Look at the Results of the National Adult Literacy Survey (NALS)</w:t>
      </w:r>
      <w:r>
        <w:t>. Washington, DC: National Center for Education Statistics, U.S. Department of Education.</w:t>
      </w:r>
      <w:r w:rsidR="00241C17">
        <w:t xml:space="preserve"> Available from: </w:t>
      </w:r>
      <w:hyperlink r:id="rId21" w:history="1">
        <w:r w:rsidR="00241C17" w:rsidRPr="000C28A3">
          <w:rPr>
            <w:rStyle w:val="Hyperlink"/>
          </w:rPr>
          <w:t>https://nces.ed.gov/pubsearch/pubsinfo.asp?pubid=93275</w:t>
        </w:r>
      </w:hyperlink>
      <w:r w:rsidR="00241C17">
        <w:t xml:space="preserve"> </w:t>
      </w:r>
    </w:p>
    <w:p w14:paraId="208CB652" w14:textId="385B9A8B" w:rsidR="00241C17" w:rsidRPr="00623DAB" w:rsidRDefault="00241C17" w:rsidP="00241C17">
      <w:pPr>
        <w:rPr>
          <w:rFonts w:cstheme="minorHAnsi"/>
        </w:rPr>
      </w:pPr>
      <w:r w:rsidRPr="00623DAB">
        <w:rPr>
          <w:rFonts w:cstheme="minorHAnsi"/>
        </w:rPr>
        <w:t>Institute of Medicine (US) Committee on Health Literacy; Nielsen-</w:t>
      </w:r>
      <w:proofErr w:type="spellStart"/>
      <w:r w:rsidRPr="00623DAB">
        <w:rPr>
          <w:rFonts w:cstheme="minorHAnsi"/>
        </w:rPr>
        <w:t>Bohlman</w:t>
      </w:r>
      <w:proofErr w:type="spellEnd"/>
      <w:r w:rsidRPr="00623DAB">
        <w:rPr>
          <w:rFonts w:cstheme="minorHAnsi"/>
        </w:rPr>
        <w:t xml:space="preserve"> L, Panzer AM, </w:t>
      </w:r>
      <w:proofErr w:type="spellStart"/>
      <w:r w:rsidRPr="00623DAB">
        <w:rPr>
          <w:rFonts w:cstheme="minorHAnsi"/>
        </w:rPr>
        <w:t>Kindig</w:t>
      </w:r>
      <w:proofErr w:type="spellEnd"/>
      <w:r w:rsidRPr="00623DAB">
        <w:rPr>
          <w:rFonts w:cstheme="minorHAnsi"/>
        </w:rPr>
        <w:t xml:space="preserve"> DA, editors. </w:t>
      </w:r>
      <w:r>
        <w:rPr>
          <w:rFonts w:cstheme="minorHAnsi"/>
        </w:rPr>
        <w:t>“</w:t>
      </w:r>
      <w:r w:rsidRPr="00241C17">
        <w:rPr>
          <w:rFonts w:cstheme="minorHAnsi"/>
        </w:rPr>
        <w:t>Chapter 3: The Extent and Associations of Limited Health Literacy.</w:t>
      </w:r>
      <w:r>
        <w:rPr>
          <w:rFonts w:cstheme="minorHAnsi"/>
        </w:rPr>
        <w:t xml:space="preserve">” In: </w:t>
      </w:r>
      <w:r w:rsidRPr="00623DAB">
        <w:rPr>
          <w:rFonts w:cstheme="minorHAnsi"/>
          <w:i/>
        </w:rPr>
        <w:t>Health Literacy: A Prescription to End Confusion.</w:t>
      </w:r>
      <w:r w:rsidRPr="00623DAB">
        <w:rPr>
          <w:rFonts w:cstheme="minorHAnsi"/>
        </w:rPr>
        <w:t xml:space="preserve"> Washington (DC): National Academies Press (US); 2004.</w:t>
      </w:r>
      <w:r>
        <w:rPr>
          <w:rFonts w:cstheme="minorHAnsi"/>
        </w:rPr>
        <w:t xml:space="preserve"> </w:t>
      </w:r>
      <w:r w:rsidRPr="00623DAB">
        <w:rPr>
          <w:rFonts w:cstheme="minorHAnsi"/>
        </w:rPr>
        <w:t xml:space="preserve">Available from: </w:t>
      </w:r>
      <w:hyperlink r:id="rId22" w:history="1">
        <w:r w:rsidRPr="00623DAB">
          <w:rPr>
            <w:rStyle w:val="Hyperlink"/>
            <w:rFonts w:cstheme="minorHAnsi"/>
          </w:rPr>
          <w:t>https://www.ncbi.nlm.nih.gov/books/N</w:t>
        </w:r>
        <w:r w:rsidRPr="00623DAB">
          <w:rPr>
            <w:rStyle w:val="Hyperlink"/>
            <w:rFonts w:cstheme="minorHAnsi"/>
          </w:rPr>
          <w:t>B</w:t>
        </w:r>
        <w:r w:rsidRPr="00623DAB">
          <w:rPr>
            <w:rStyle w:val="Hyperlink"/>
            <w:rFonts w:cstheme="minorHAnsi"/>
          </w:rPr>
          <w:t>K216036/</w:t>
        </w:r>
      </w:hyperlink>
      <w:r w:rsidRPr="00623DAB">
        <w:rPr>
          <w:rFonts w:cstheme="minorHAnsi"/>
        </w:rPr>
        <w:t xml:space="preserve"> </w:t>
      </w:r>
    </w:p>
    <w:p w14:paraId="69F02C9F" w14:textId="3F2D5E7B" w:rsidR="00AF2C43" w:rsidRPr="006E18A4" w:rsidRDefault="00D9708F" w:rsidP="00C31259">
      <w:pPr>
        <w:pStyle w:val="Heading1"/>
      </w:pPr>
      <w:r w:rsidRPr="006E18A4">
        <w:t xml:space="preserve">Additional resources </w:t>
      </w:r>
    </w:p>
    <w:p w14:paraId="3DECB298" w14:textId="58DB0EDA" w:rsidR="00AF2C43" w:rsidRPr="006E18A4" w:rsidRDefault="00D9708F" w:rsidP="000F584C">
      <w:pPr>
        <w:pStyle w:val="Heading2"/>
      </w:pPr>
      <w:r w:rsidRPr="006E18A4">
        <w:t>Interventions</w:t>
      </w:r>
    </w:p>
    <w:p w14:paraId="3C8C3B19" w14:textId="264BCCAF" w:rsidR="00AF2C43" w:rsidRDefault="009C0AAD" w:rsidP="000F584C">
      <w:pPr>
        <w:pStyle w:val="Heading3"/>
      </w:pPr>
      <w:hyperlink r:id="rId23" w:history="1">
        <w:r w:rsidR="00623DAB">
          <w:rPr>
            <w:rStyle w:val="Hyperlink"/>
            <w:rFonts w:cstheme="minorHAnsi"/>
          </w:rPr>
          <w:t>AHRQ Health Literacy Interventions and Outcomes: An Updated Systematic Review</w:t>
        </w:r>
      </w:hyperlink>
      <w:r w:rsidR="00D9708F" w:rsidRPr="005A3445">
        <w:t xml:space="preserve">  </w:t>
      </w:r>
    </w:p>
    <w:p w14:paraId="4C91979C" w14:textId="4BE208EE" w:rsidR="00623DAB" w:rsidRPr="005A3445" w:rsidRDefault="00623DAB" w:rsidP="00623DAB">
      <w:r>
        <w:t xml:space="preserve">Berkman ND, Sheridan SL, Donahue KE, Halpern DJ, Viera A, Crotty K, Holland A, </w:t>
      </w:r>
      <w:proofErr w:type="spellStart"/>
      <w:r>
        <w:t>Brasure</w:t>
      </w:r>
      <w:proofErr w:type="spellEnd"/>
      <w:r>
        <w:t xml:space="preserve"> M, </w:t>
      </w:r>
      <w:proofErr w:type="spellStart"/>
      <w:r>
        <w:t>Lohr</w:t>
      </w:r>
      <w:proofErr w:type="spellEnd"/>
      <w:r>
        <w:t xml:space="preserve"> KN, Harden E, </w:t>
      </w:r>
      <w:proofErr w:type="spellStart"/>
      <w:r>
        <w:t>Tant</w:t>
      </w:r>
      <w:proofErr w:type="spellEnd"/>
      <w:r>
        <w:t xml:space="preserve"> E, Wallace I, Viswanathan M. </w:t>
      </w:r>
      <w:r w:rsidRPr="00623DAB">
        <w:rPr>
          <w:i/>
        </w:rPr>
        <w:t>Health Literacy Interventions and Outcomes: An Updated Systematic Review.</w:t>
      </w:r>
      <w:r>
        <w:t xml:space="preserve"> Evidence Report/Technology Asses</w:t>
      </w:r>
      <w:r w:rsidR="005650A6">
        <w:t>s</w:t>
      </w:r>
      <w:r>
        <w:t xml:space="preserve">ment No. 199. (Prepared by RTI International–University of North Carolina Evidence based Practice Center under contract No. 290-2007-10056-I.) AHRQ Publication Number 11- E006. Rockville, MD. Agency for Healthcare Research and Quality. March 2011. Available from: </w:t>
      </w:r>
      <w:hyperlink r:id="rId24" w:history="1">
        <w:r w:rsidRPr="001E514A">
          <w:rPr>
            <w:rStyle w:val="Hyperlink"/>
          </w:rPr>
          <w:t>https://www.ahrq.gov/downloads/pub/evidence/pdf/literacy/literacyup.pdf</w:t>
        </w:r>
      </w:hyperlink>
      <w:r>
        <w:t xml:space="preserve"> </w:t>
      </w:r>
    </w:p>
    <w:p w14:paraId="6AC40BAA" w14:textId="0D25586C" w:rsidR="00AF2C43" w:rsidRPr="006E18A4" w:rsidRDefault="00D9708F" w:rsidP="000F584C">
      <w:pPr>
        <w:pStyle w:val="Heading2"/>
        <w:rPr>
          <w:rFonts w:cstheme="majorHAnsi"/>
          <w:b/>
          <w:color w:val="1F4D78"/>
        </w:rPr>
      </w:pPr>
      <w:r w:rsidRPr="000F584C">
        <w:rPr>
          <w:rStyle w:val="Heading3Char"/>
          <w:color w:val="404040" w:themeColor="text1" w:themeTint="BF"/>
          <w:sz w:val="28"/>
          <w:szCs w:val="28"/>
        </w:rPr>
        <w:t>Epidemiology</w:t>
      </w:r>
    </w:p>
    <w:p w14:paraId="087BAAC5" w14:textId="77777777" w:rsidR="00AF2C43" w:rsidRPr="006E18A4" w:rsidRDefault="00D9708F" w:rsidP="000F584C">
      <w:pPr>
        <w:pStyle w:val="Heading2"/>
      </w:pPr>
      <w:r w:rsidRPr="006E18A4">
        <w:t>Plain language</w:t>
      </w:r>
    </w:p>
    <w:p w14:paraId="6E703B7D" w14:textId="77777777" w:rsidR="000F02BC" w:rsidRDefault="000F02BC" w:rsidP="000F02BC">
      <w:pPr>
        <w:pStyle w:val="Heading3"/>
      </w:pPr>
      <w:hyperlink r:id="rId25" w:history="1">
        <w:r w:rsidRPr="005A3445">
          <w:rPr>
            <w:rStyle w:val="Hyperlink"/>
            <w:rFonts w:cstheme="minorHAnsi"/>
          </w:rPr>
          <w:t>Everyday Words for Public Health Communication</w:t>
        </w:r>
      </w:hyperlink>
      <w:r w:rsidRPr="005A3445">
        <w:t xml:space="preserve"> </w:t>
      </w:r>
    </w:p>
    <w:p w14:paraId="62A72E0F" w14:textId="50A41FCE" w:rsidR="000F02BC" w:rsidRPr="005A3445" w:rsidRDefault="000F02BC" w:rsidP="000F02BC">
      <w:r w:rsidRPr="005A3445">
        <w:t>U.S. Centers for Disease Control and Prevention</w:t>
      </w:r>
      <w:r w:rsidR="00241C17">
        <w:t>.</w:t>
      </w:r>
      <w:bookmarkStart w:id="0" w:name="_GoBack"/>
      <w:bookmarkEnd w:id="0"/>
      <w:r>
        <w:t xml:space="preserve"> (</w:t>
      </w:r>
      <w:r w:rsidRPr="00E00F39">
        <w:t>Last Reviewed: May 9, 2022</w:t>
      </w:r>
      <w:r>
        <w:t xml:space="preserve">). </w:t>
      </w:r>
      <w:r w:rsidRPr="00623DAB">
        <w:t>Available from:</w:t>
      </w:r>
      <w:r>
        <w:t xml:space="preserve"> </w:t>
      </w:r>
      <w:hyperlink r:id="rId26" w:history="1">
        <w:r w:rsidRPr="001E514A">
          <w:rPr>
            <w:rStyle w:val="Hyperlink"/>
          </w:rPr>
          <w:t>https://www.cdc.gov/ccindex/everydaywords/index.html</w:t>
        </w:r>
      </w:hyperlink>
      <w:r>
        <w:t xml:space="preserve"> </w:t>
      </w:r>
    </w:p>
    <w:p w14:paraId="5138AA4F" w14:textId="6A9AC2C1" w:rsidR="00E929D6" w:rsidRDefault="009C0AAD" w:rsidP="000F584C">
      <w:pPr>
        <w:pStyle w:val="Heading3"/>
        <w:rPr>
          <w:rFonts w:cstheme="minorHAnsi"/>
          <w:color w:val="0563C1"/>
        </w:rPr>
      </w:pPr>
      <w:hyperlink r:id="rId27" w:history="1">
        <w:r w:rsidR="00E00F39">
          <w:rPr>
            <w:rStyle w:val="Hyperlink"/>
            <w:rFonts w:cstheme="minorHAnsi"/>
          </w:rPr>
          <w:t>Federal plain language guidelines</w:t>
        </w:r>
      </w:hyperlink>
      <w:r w:rsidR="00E929D6" w:rsidRPr="005A3445">
        <w:rPr>
          <w:rFonts w:cstheme="minorHAnsi"/>
          <w:color w:val="0563C1"/>
        </w:rPr>
        <w:t xml:space="preserve"> </w:t>
      </w:r>
    </w:p>
    <w:p w14:paraId="73F8EBC2" w14:textId="50E6DB9C" w:rsidR="00E00F39" w:rsidRPr="00E00F39" w:rsidRDefault="00E00F39" w:rsidP="00E00F39">
      <w:pPr>
        <w:rPr>
          <w:rFonts w:cstheme="minorHAnsi"/>
        </w:rPr>
      </w:pPr>
      <w:r w:rsidRPr="00E00F39">
        <w:t>Plain Language Action and Information Network</w:t>
      </w:r>
      <w:r>
        <w:t>.</w:t>
      </w:r>
      <w:r w:rsidRPr="00E00F39">
        <w:t xml:space="preserve"> </w:t>
      </w:r>
      <w:r w:rsidR="00623DAB" w:rsidRPr="00623DAB">
        <w:t>Federal plain language guidelines</w:t>
      </w:r>
      <w:r w:rsidR="00623DAB">
        <w:t xml:space="preserve">. </w:t>
      </w:r>
      <w:r w:rsidR="00623DAB" w:rsidRPr="00623DAB">
        <w:t xml:space="preserve"> </w:t>
      </w:r>
      <w:r>
        <w:t>(May 2011)</w:t>
      </w:r>
      <w:r w:rsidR="00623DAB">
        <w:t xml:space="preserve">. </w:t>
      </w:r>
      <w:r w:rsidR="00623DAB" w:rsidRPr="00623DAB">
        <w:t>Available from:</w:t>
      </w:r>
      <w:r>
        <w:t xml:space="preserve"> </w:t>
      </w:r>
      <w:hyperlink r:id="rId28" w:history="1">
        <w:r w:rsidRPr="001E514A">
          <w:rPr>
            <w:rStyle w:val="Hyperlink"/>
          </w:rPr>
          <w:t>https://www.plainlanguage.gov/guidelines/</w:t>
        </w:r>
      </w:hyperlink>
    </w:p>
    <w:p w14:paraId="5410EA4B" w14:textId="77777777" w:rsidR="00623DAB" w:rsidRDefault="009C0AAD" w:rsidP="000F584C">
      <w:pPr>
        <w:pStyle w:val="Heading3"/>
      </w:pPr>
      <w:hyperlink r:id="rId29" w:history="1">
        <w:r w:rsidR="00D9708F" w:rsidRPr="005A3445">
          <w:rPr>
            <w:rStyle w:val="Hyperlink"/>
            <w:rFonts w:cstheme="minorHAnsi"/>
          </w:rPr>
          <w:t>Plain Language Thesaurus for Health Communications</w:t>
        </w:r>
      </w:hyperlink>
      <w:r w:rsidR="00D9708F" w:rsidRPr="005A3445">
        <w:t xml:space="preserve"> </w:t>
      </w:r>
    </w:p>
    <w:p w14:paraId="0957A227" w14:textId="71EDDBB4" w:rsidR="00623DAB" w:rsidRPr="00623DAB" w:rsidRDefault="00623DAB" w:rsidP="00623DAB">
      <w:r w:rsidRPr="00623DAB">
        <w:t xml:space="preserve">National Center for Health Marketing (U.S.) (2007). Plain language thesaurus for health communications. Available from: </w:t>
      </w:r>
      <w:hyperlink r:id="rId30" w:history="1">
        <w:r w:rsidRPr="001E514A">
          <w:rPr>
            <w:rStyle w:val="Hyperlink"/>
          </w:rPr>
          <w:t>https://stacks.cdc.gov/view/cdc/11500</w:t>
        </w:r>
      </w:hyperlink>
      <w:r>
        <w:t xml:space="preserve"> </w:t>
      </w:r>
    </w:p>
    <w:p w14:paraId="0F73957F" w14:textId="34BE0354" w:rsidR="00AF2C43" w:rsidRPr="006E18A4" w:rsidRDefault="00D9708F" w:rsidP="000F584C">
      <w:pPr>
        <w:pStyle w:val="Heading2"/>
      </w:pPr>
      <w:r w:rsidRPr="006E18A4">
        <w:t>Teach-back</w:t>
      </w:r>
      <w:r w:rsidR="00E62E0C">
        <w:t xml:space="preserve"> Method of Patient Communication</w:t>
      </w:r>
    </w:p>
    <w:p w14:paraId="603ADC03" w14:textId="040B0718" w:rsidR="00AF2C43" w:rsidRPr="000F584C" w:rsidRDefault="000F584C" w:rsidP="000F584C">
      <w:pPr>
        <w:pStyle w:val="Heading3"/>
        <w:rPr>
          <w:rStyle w:val="Hyperlink"/>
        </w:rPr>
      </w:pPr>
      <w:r>
        <w:fldChar w:fldCharType="begin"/>
      </w:r>
      <w:r>
        <w:instrText xml:space="preserve"> HYPERLINK "https://www.ahrq.gov/patient-safety/reports/engage/teachback.html" </w:instrText>
      </w:r>
      <w:r>
        <w:fldChar w:fldCharType="separate"/>
      </w:r>
      <w:r w:rsidR="005650A6" w:rsidRPr="000F584C">
        <w:rPr>
          <w:rStyle w:val="Hyperlink"/>
        </w:rPr>
        <w:t>Teach-back</w:t>
      </w:r>
    </w:p>
    <w:p w14:paraId="1FA85D1C" w14:textId="626A5B49" w:rsidR="00623DAB" w:rsidRPr="00623DAB" w:rsidRDefault="000F584C" w:rsidP="00623DAB">
      <w:r>
        <w:rPr>
          <w:rFonts w:asciiTheme="majorHAnsi" w:eastAsiaTheme="majorEastAsia" w:hAnsiTheme="majorHAnsi" w:cstheme="majorBidi"/>
          <w:color w:val="1F497D" w:themeColor="text2"/>
          <w:sz w:val="24"/>
          <w:szCs w:val="24"/>
        </w:rPr>
        <w:fldChar w:fldCharType="end"/>
      </w:r>
      <w:r w:rsidR="00623DAB">
        <w:t xml:space="preserve">Teach Back. </w:t>
      </w:r>
      <w:r w:rsidR="00623DAB" w:rsidRPr="00AC1A85">
        <w:rPr>
          <w:i/>
        </w:rPr>
        <w:t>Guide to Improving Patient Safety in Primary Care Settings by Engaging Patients and Families.</w:t>
      </w:r>
      <w:r w:rsidR="00623DAB" w:rsidRPr="00623DAB">
        <w:t xml:space="preserve"> Content last reviewed February 2023.</w:t>
      </w:r>
      <w:r w:rsidR="005650A6">
        <w:t xml:space="preserve"> U. S.</w:t>
      </w:r>
      <w:r w:rsidR="00623DAB" w:rsidRPr="00623DAB">
        <w:t xml:space="preserve"> Agency for Healthcare Research and Quality, Rockville, MD. </w:t>
      </w:r>
      <w:r w:rsidRPr="000F584C">
        <w:t xml:space="preserve">Available </w:t>
      </w:r>
      <w:r w:rsidR="000F02BC">
        <w:t>from</w:t>
      </w:r>
      <w:r w:rsidRPr="000F584C">
        <w:t>:</w:t>
      </w:r>
      <w:r>
        <w:t xml:space="preserve"> </w:t>
      </w:r>
      <w:hyperlink r:id="rId31" w:history="1">
        <w:r w:rsidRPr="000C28A3">
          <w:rPr>
            <w:rStyle w:val="Hyperlink"/>
          </w:rPr>
          <w:t>https://www.ahrq.gov/patient-safety/reports/engage/teachback.html</w:t>
        </w:r>
      </w:hyperlink>
      <w:r w:rsidR="005650A6">
        <w:t xml:space="preserve"> </w:t>
      </w:r>
    </w:p>
    <w:p w14:paraId="4D1745BE" w14:textId="1D05B619" w:rsidR="00AF2C43" w:rsidRPr="006E18A4" w:rsidRDefault="00D9708F" w:rsidP="000F584C">
      <w:pPr>
        <w:pStyle w:val="Heading2"/>
      </w:pPr>
      <w:r w:rsidRPr="006E18A4">
        <w:t>Accessibility</w:t>
      </w:r>
    </w:p>
    <w:p w14:paraId="170314D6" w14:textId="20D1D8E2" w:rsidR="000F02BC" w:rsidRDefault="000F02BC" w:rsidP="000F02BC">
      <w:pPr>
        <w:pStyle w:val="Heading3"/>
      </w:pPr>
      <w:hyperlink r:id="rId32" w:history="1">
        <w:r w:rsidR="0083207D">
          <w:rPr>
            <w:rStyle w:val="Hyperlink"/>
            <w:rFonts w:cstheme="minorHAnsi"/>
            <w:i/>
          </w:rPr>
          <w:t>ADA Best Practices Tool Kit: General Effective Communication</w:t>
        </w:r>
      </w:hyperlink>
      <w:r w:rsidRPr="00260668">
        <w:t xml:space="preserve"> </w:t>
      </w:r>
    </w:p>
    <w:p w14:paraId="6C430671" w14:textId="3EE5643B" w:rsidR="000F02BC" w:rsidRPr="00DE2C54" w:rsidRDefault="000F02BC" w:rsidP="0083207D">
      <w:pPr>
        <w:rPr>
          <w:rFonts w:cstheme="minorHAnsi"/>
        </w:rPr>
      </w:pPr>
      <w:r w:rsidRPr="00DE2C54">
        <w:rPr>
          <w:rFonts w:cstheme="minorHAnsi"/>
          <w:i/>
        </w:rPr>
        <w:t>ADA Best Practices Tool Kit for State and Local Governments</w:t>
      </w:r>
      <w:r w:rsidRPr="00DE2C54">
        <w:rPr>
          <w:rFonts w:cstheme="minorHAnsi"/>
        </w:rPr>
        <w:t xml:space="preserve">. </w:t>
      </w:r>
      <w:r w:rsidR="0083207D">
        <w:rPr>
          <w:rFonts w:cstheme="minorHAnsi"/>
        </w:rPr>
        <w:t>“</w:t>
      </w:r>
      <w:r w:rsidR="0083207D" w:rsidRPr="0083207D">
        <w:rPr>
          <w:rFonts w:cstheme="minorHAnsi"/>
        </w:rPr>
        <w:t>Chapter 3</w:t>
      </w:r>
      <w:r w:rsidR="0083207D">
        <w:rPr>
          <w:rFonts w:cstheme="minorHAnsi"/>
        </w:rPr>
        <w:t xml:space="preserve">: </w:t>
      </w:r>
      <w:r w:rsidR="0083207D" w:rsidRPr="0083207D">
        <w:rPr>
          <w:rFonts w:cstheme="minorHAnsi"/>
        </w:rPr>
        <w:t>General Effective Communication Requirements Under Title II of the ADA</w:t>
      </w:r>
      <w:r w:rsidR="0083207D">
        <w:rPr>
          <w:rFonts w:cstheme="minorHAnsi"/>
        </w:rPr>
        <w:t>.”</w:t>
      </w:r>
      <w:r w:rsidR="0083207D" w:rsidRPr="0083207D">
        <w:rPr>
          <w:rFonts w:cstheme="minorHAnsi"/>
        </w:rPr>
        <w:t xml:space="preserve"> </w:t>
      </w:r>
      <w:r w:rsidRPr="00DE2C54">
        <w:rPr>
          <w:rFonts w:cstheme="minorHAnsi"/>
        </w:rPr>
        <w:t>(2007)</w:t>
      </w:r>
      <w:r>
        <w:rPr>
          <w:rFonts w:cstheme="minorHAnsi"/>
        </w:rPr>
        <w:t>.</w:t>
      </w:r>
      <w:r w:rsidRPr="00DE2C54">
        <w:rPr>
          <w:rFonts w:cstheme="minorHAnsi"/>
        </w:rPr>
        <w:t xml:space="preserve"> Civil Rights Division of the United States Department of Justice</w:t>
      </w:r>
      <w:r w:rsidRPr="00DE2C54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Available </w:t>
      </w:r>
      <w:r w:rsidRPr="000F02BC">
        <w:rPr>
          <w:rFonts w:cstheme="minorHAnsi"/>
          <w:color w:val="000000"/>
        </w:rPr>
        <w:t>from</w:t>
      </w:r>
      <w:r>
        <w:rPr>
          <w:rFonts w:cstheme="minorHAnsi"/>
          <w:color w:val="000000"/>
        </w:rPr>
        <w:t xml:space="preserve">: </w:t>
      </w:r>
      <w:hyperlink r:id="rId33" w:history="1">
        <w:r w:rsidRPr="000C28A3">
          <w:rPr>
            <w:rStyle w:val="Hyperlink"/>
            <w:rFonts w:cstheme="minorHAnsi"/>
          </w:rPr>
          <w:t>https://archive.ada.gov/pcatoolkit/chap3toolkit.htm</w:t>
        </w:r>
      </w:hyperlink>
      <w:r>
        <w:rPr>
          <w:rFonts w:cstheme="minorHAnsi"/>
          <w:color w:val="000000"/>
        </w:rPr>
        <w:t xml:space="preserve"> </w:t>
      </w:r>
    </w:p>
    <w:p w14:paraId="0DC449C4" w14:textId="32A51855" w:rsidR="000F584C" w:rsidRDefault="009C0AAD" w:rsidP="000F584C">
      <w:pPr>
        <w:pStyle w:val="Heading3"/>
        <w:rPr>
          <w:rFonts w:cstheme="minorHAnsi"/>
        </w:rPr>
      </w:pPr>
      <w:hyperlink r:id="rId34" w:history="1">
        <w:r w:rsidR="000F584C">
          <w:rPr>
            <w:rStyle w:val="Hyperlink"/>
            <w:rFonts w:cstheme="minorHAnsi"/>
          </w:rPr>
          <w:t>Removing barriers: Tips and Strategies to Promote Accessible Communication</w:t>
        </w:r>
      </w:hyperlink>
    </w:p>
    <w:p w14:paraId="1C7BA482" w14:textId="56386E9E" w:rsidR="000F584C" w:rsidRDefault="000F584C" w:rsidP="000F584C">
      <w:r w:rsidRPr="000F584C">
        <w:t xml:space="preserve">North Carolina Office on Disability and Health. (2002). </w:t>
      </w:r>
      <w:r w:rsidRPr="00AC1A85">
        <w:rPr>
          <w:i/>
        </w:rPr>
        <w:t>Removing barriers: Tips and strategies to promote accessible communication.</w:t>
      </w:r>
      <w:r w:rsidRPr="000F584C">
        <w:t xml:space="preserve"> Chapel Hill: The University of North Carolina, Frank Porter Graham Child Development Institute, Author.</w:t>
      </w:r>
      <w:r>
        <w:t xml:space="preserve"> Available </w:t>
      </w:r>
      <w:r w:rsidR="000F02BC">
        <w:t>from</w:t>
      </w:r>
      <w:r>
        <w:t xml:space="preserve">: </w:t>
      </w:r>
      <w:hyperlink r:id="rId35" w:history="1">
        <w:r w:rsidRPr="000C28A3">
          <w:rPr>
            <w:rStyle w:val="Hyperlink"/>
          </w:rPr>
          <w:t>https://fpg.unc.edu/publications/removing-barriers-tips-and-strategies-promote-accessible-communication</w:t>
        </w:r>
      </w:hyperlink>
      <w:r>
        <w:t xml:space="preserve"> </w:t>
      </w:r>
    </w:p>
    <w:p w14:paraId="443EDAEC" w14:textId="35C1B707" w:rsidR="00AF2C43" w:rsidRDefault="009C0AAD" w:rsidP="00A84EF8">
      <w:pPr>
        <w:pStyle w:val="Heading3"/>
        <w:rPr>
          <w:rStyle w:val="Hyperlink"/>
          <w:rFonts w:cstheme="minorHAnsi"/>
        </w:rPr>
      </w:pPr>
      <w:hyperlink r:id="rId36" w:history="1">
        <w:r w:rsidR="00D9708F" w:rsidRPr="00260668">
          <w:rPr>
            <w:rStyle w:val="Hyperlink"/>
            <w:rFonts w:cstheme="minorHAnsi"/>
          </w:rPr>
          <w:t>WAVE</w:t>
        </w:r>
        <w:r w:rsidR="00434EB4" w:rsidRPr="00260668">
          <w:rPr>
            <w:rStyle w:val="Hyperlink"/>
            <w:rFonts w:cstheme="minorHAnsi"/>
          </w:rPr>
          <w:t>:</w:t>
        </w:r>
        <w:r w:rsidR="00D9708F" w:rsidRPr="00260668">
          <w:rPr>
            <w:rStyle w:val="Hyperlink"/>
            <w:rFonts w:cstheme="minorHAnsi"/>
          </w:rPr>
          <w:t xml:space="preserve"> Web Accessibility Evaluation Tool</w:t>
        </w:r>
      </w:hyperlink>
    </w:p>
    <w:p w14:paraId="63974D4D" w14:textId="7D564570" w:rsidR="00A84EF8" w:rsidRPr="00A84EF8" w:rsidRDefault="00D75AC0" w:rsidP="00A84EF8">
      <w:proofErr w:type="spellStart"/>
      <w:r>
        <w:t>WebAIM</w:t>
      </w:r>
      <w:proofErr w:type="spellEnd"/>
      <w:r>
        <w:t xml:space="preserve">, </w:t>
      </w:r>
      <w:r w:rsidR="00A84EF8">
        <w:t>Institute for Disability Research, Policy &amp; Practice</w:t>
      </w:r>
      <w:r w:rsidR="00A84EF8">
        <w:t xml:space="preserve">, </w:t>
      </w:r>
      <w:r w:rsidR="00A84EF8">
        <w:t>Utah State University</w:t>
      </w:r>
      <w:r w:rsidR="00A84EF8">
        <w:t xml:space="preserve">. Logan: UT. (2001-). Available </w:t>
      </w:r>
      <w:r w:rsidR="000F02BC" w:rsidRPr="000F02BC">
        <w:t>from</w:t>
      </w:r>
      <w:r w:rsidR="00A84EF8">
        <w:t xml:space="preserve">: </w:t>
      </w:r>
      <w:hyperlink r:id="rId37" w:history="1">
        <w:r w:rsidR="00A84EF8" w:rsidRPr="000C28A3">
          <w:rPr>
            <w:rStyle w:val="Hyperlink"/>
          </w:rPr>
          <w:t>https://wave.webaim.org/</w:t>
        </w:r>
      </w:hyperlink>
      <w:r w:rsidR="00A84EF8">
        <w:t xml:space="preserve"> </w:t>
      </w:r>
    </w:p>
    <w:p w14:paraId="3A61671A" w14:textId="7F2795B9" w:rsidR="00AF2C43" w:rsidRPr="006E18A4" w:rsidRDefault="00D9708F" w:rsidP="00D75AC0">
      <w:pPr>
        <w:pStyle w:val="Heading2"/>
        <w:rPr>
          <w:color w:val="212121"/>
          <w:highlight w:val="white"/>
        </w:rPr>
      </w:pPr>
      <w:r w:rsidRPr="006E18A4">
        <w:t>Numeracy</w:t>
      </w:r>
    </w:p>
    <w:p w14:paraId="10150F37" w14:textId="3ED078DA" w:rsidR="001719A2" w:rsidRDefault="009C0AAD" w:rsidP="001719A2">
      <w:pPr>
        <w:pStyle w:val="Heading3"/>
        <w:rPr>
          <w:rFonts w:cstheme="minorHAnsi"/>
        </w:rPr>
      </w:pPr>
      <w:hyperlink r:id="rId38" w:history="1">
        <w:r w:rsidR="001719A2">
          <w:rPr>
            <w:rStyle w:val="Hyperlink"/>
            <w:rFonts w:cstheme="minorHAnsi"/>
          </w:rPr>
          <w:t>The SHARE Approach - Communicating Numbers to Your Patients</w:t>
        </w:r>
      </w:hyperlink>
      <w:r w:rsidR="00A55675" w:rsidRPr="001719A2">
        <w:rPr>
          <w:rFonts w:cstheme="minorHAnsi"/>
        </w:rPr>
        <w:t xml:space="preserve"> </w:t>
      </w:r>
    </w:p>
    <w:p w14:paraId="5AFCE900" w14:textId="52FF19C7" w:rsidR="00AF2C43" w:rsidRPr="00AC1A85" w:rsidRDefault="001719A2" w:rsidP="00AC1A85">
      <w:pPr>
        <w:ind w:left="360"/>
        <w:rPr>
          <w:rFonts w:cstheme="minorHAnsi"/>
        </w:rPr>
      </w:pPr>
      <w:r w:rsidRPr="001719A2">
        <w:rPr>
          <w:rFonts w:cstheme="minorHAnsi"/>
        </w:rPr>
        <w:t>T</w:t>
      </w:r>
      <w:r w:rsidRPr="001719A2">
        <w:rPr>
          <w:rFonts w:cstheme="minorHAnsi"/>
        </w:rPr>
        <w:t>he SHARE Approach—Communicating Numbers to Your Patients: A Reference Guide for Health Care Providers. Content last reviewed September 2020. Agency for Healthcare Research and Quality, Rockville, MD.</w:t>
      </w:r>
      <w:r w:rsidRPr="001719A2">
        <w:rPr>
          <w:rFonts w:cstheme="minorHAnsi"/>
        </w:rPr>
        <w:t xml:space="preserve"> Available </w:t>
      </w:r>
      <w:r w:rsidR="000F02BC" w:rsidRPr="000F02BC">
        <w:rPr>
          <w:rFonts w:cstheme="minorHAnsi"/>
        </w:rPr>
        <w:t>from</w:t>
      </w:r>
      <w:r w:rsidRPr="001719A2">
        <w:rPr>
          <w:rFonts w:cstheme="minorHAnsi"/>
        </w:rPr>
        <w:t xml:space="preserve">: </w:t>
      </w:r>
      <w:hyperlink r:id="rId39" w:history="1">
        <w:r w:rsidRPr="001719A2">
          <w:rPr>
            <w:rStyle w:val="Hyperlink"/>
            <w:rFonts w:cstheme="minorHAnsi"/>
          </w:rPr>
          <w:t>https://www.ahrq.gov/health-literacy/professional-training/shared-decision/tool/resource-5.html</w:t>
        </w:r>
      </w:hyperlink>
    </w:p>
    <w:sectPr w:rsidR="00AF2C43" w:rsidRPr="00AC1A85">
      <w:footerReference w:type="default" r:id="rId40"/>
      <w:pgSz w:w="12240" w:h="15840"/>
      <w:pgMar w:top="720" w:right="1482" w:bottom="75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622F" w14:textId="77777777" w:rsidR="009C0AAD" w:rsidRDefault="009C0AAD" w:rsidP="0070666F">
      <w:pPr>
        <w:spacing w:after="0" w:line="240" w:lineRule="auto"/>
      </w:pPr>
      <w:r>
        <w:separator/>
      </w:r>
    </w:p>
  </w:endnote>
  <w:endnote w:type="continuationSeparator" w:id="0">
    <w:p w14:paraId="343AA3B2" w14:textId="77777777" w:rsidR="009C0AAD" w:rsidRDefault="009C0AAD" w:rsidP="007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4BE7" w14:textId="77777777" w:rsidR="000F02BC" w:rsidRPr="006E18A4" w:rsidRDefault="000F02BC" w:rsidP="000F02BC">
    <w:pPr>
      <w:widowControl w:val="0"/>
      <w:spacing w:before="146" w:line="229" w:lineRule="auto"/>
      <w:ind w:left="12" w:right="245"/>
      <w:rPr>
        <w:rFonts w:asciiTheme="majorHAnsi" w:eastAsia="Roboto" w:hAnsiTheme="majorHAnsi" w:cstheme="majorHAnsi"/>
        <w:color w:val="212121"/>
        <w:sz w:val="24"/>
        <w:szCs w:val="24"/>
        <w:highlight w:val="white"/>
      </w:rPr>
    </w:pPr>
    <w:r w:rsidRPr="006E18A4">
      <w:rPr>
        <w:rFonts w:asciiTheme="majorHAnsi" w:hAnsiTheme="majorHAnsi" w:cstheme="majorHAnsi"/>
        <w:sz w:val="16"/>
        <w:szCs w:val="16"/>
      </w:rPr>
      <w:t xml:space="preserve">Funded by the National Library of Medicine. NNLM and Network of the National Library of Medicine are service marks of the US Department of Health and Human Services. </w:t>
    </w:r>
    <w:r>
      <w:rPr>
        <w:rFonts w:asciiTheme="majorHAnsi" w:hAnsiTheme="majorHAnsi" w:cstheme="majorHAnsi"/>
        <w:sz w:val="16"/>
        <w:szCs w:val="16"/>
      </w:rPr>
      <w:t>Updated October</w:t>
    </w:r>
    <w:r w:rsidRPr="006E18A4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Pr="006E18A4">
      <w:rPr>
        <w:rFonts w:asciiTheme="majorHAnsi" w:hAnsiTheme="majorHAnsi" w:cstheme="majorHAnsi"/>
        <w:sz w:val="16"/>
        <w:szCs w:val="16"/>
      </w:rPr>
      <w:t xml:space="preserve">. </w:t>
    </w:r>
  </w:p>
  <w:p w14:paraId="018D92D3" w14:textId="4CAF7C3A" w:rsidR="000F02BC" w:rsidRDefault="000F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91CA" w14:textId="77777777" w:rsidR="009C0AAD" w:rsidRDefault="009C0AAD" w:rsidP="0070666F">
      <w:pPr>
        <w:spacing w:after="0" w:line="240" w:lineRule="auto"/>
      </w:pPr>
      <w:r>
        <w:separator/>
      </w:r>
    </w:p>
  </w:footnote>
  <w:footnote w:type="continuationSeparator" w:id="0">
    <w:p w14:paraId="23356190" w14:textId="77777777" w:rsidR="009C0AAD" w:rsidRDefault="009C0AAD" w:rsidP="007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851"/>
    <w:multiLevelType w:val="hybridMultilevel"/>
    <w:tmpl w:val="A56E1598"/>
    <w:lvl w:ilvl="0" w:tplc="D81A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CA8"/>
    <w:multiLevelType w:val="hybridMultilevel"/>
    <w:tmpl w:val="426CBF04"/>
    <w:lvl w:ilvl="0" w:tplc="D81A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597A"/>
    <w:multiLevelType w:val="hybridMultilevel"/>
    <w:tmpl w:val="A2A622FE"/>
    <w:lvl w:ilvl="0" w:tplc="D5604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13B1"/>
    <w:multiLevelType w:val="hybridMultilevel"/>
    <w:tmpl w:val="42F2AB72"/>
    <w:lvl w:ilvl="0" w:tplc="D81A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01C4B"/>
    <w:multiLevelType w:val="hybridMultilevel"/>
    <w:tmpl w:val="3B70AD24"/>
    <w:lvl w:ilvl="0" w:tplc="D81A1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43"/>
    <w:rsid w:val="000400D8"/>
    <w:rsid w:val="00056E2B"/>
    <w:rsid w:val="000F02BC"/>
    <w:rsid w:val="000F18A9"/>
    <w:rsid w:val="000F584C"/>
    <w:rsid w:val="001719A2"/>
    <w:rsid w:val="00180F97"/>
    <w:rsid w:val="001B3166"/>
    <w:rsid w:val="00215385"/>
    <w:rsid w:val="00221A3C"/>
    <w:rsid w:val="00241C17"/>
    <w:rsid w:val="00260668"/>
    <w:rsid w:val="002E0BC9"/>
    <w:rsid w:val="00336BA9"/>
    <w:rsid w:val="00343089"/>
    <w:rsid w:val="003A584E"/>
    <w:rsid w:val="00434EB4"/>
    <w:rsid w:val="005650A6"/>
    <w:rsid w:val="005860C2"/>
    <w:rsid w:val="005A3445"/>
    <w:rsid w:val="00623DAB"/>
    <w:rsid w:val="00694DA0"/>
    <w:rsid w:val="006B5082"/>
    <w:rsid w:val="006E18A4"/>
    <w:rsid w:val="0070666F"/>
    <w:rsid w:val="0075799C"/>
    <w:rsid w:val="0080550F"/>
    <w:rsid w:val="0083207D"/>
    <w:rsid w:val="008C0B71"/>
    <w:rsid w:val="0092217D"/>
    <w:rsid w:val="009C0AAD"/>
    <w:rsid w:val="009F7D81"/>
    <w:rsid w:val="00A55675"/>
    <w:rsid w:val="00A84EF8"/>
    <w:rsid w:val="00AC1A85"/>
    <w:rsid w:val="00AF2C43"/>
    <w:rsid w:val="00BB7013"/>
    <w:rsid w:val="00C31259"/>
    <w:rsid w:val="00D75AC0"/>
    <w:rsid w:val="00D9708F"/>
    <w:rsid w:val="00DE2C54"/>
    <w:rsid w:val="00E00F39"/>
    <w:rsid w:val="00E34596"/>
    <w:rsid w:val="00E62E0C"/>
    <w:rsid w:val="00E929D6"/>
    <w:rsid w:val="00ED78EB"/>
    <w:rsid w:val="00F04ABF"/>
    <w:rsid w:val="00FB6979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49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8A4"/>
  </w:style>
  <w:style w:type="paragraph" w:styleId="Heading1">
    <w:name w:val="heading 1"/>
    <w:basedOn w:val="Normal"/>
    <w:next w:val="Normal"/>
    <w:link w:val="Heading1Char"/>
    <w:uiPriority w:val="9"/>
    <w:qFormat/>
    <w:rsid w:val="006E18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8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8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8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8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8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8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8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8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8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ield">
    <w:name w:val="field"/>
    <w:basedOn w:val="DefaultParagraphFont"/>
    <w:rsid w:val="00E929D6"/>
  </w:style>
  <w:style w:type="character" w:styleId="Hyperlink">
    <w:name w:val="Hyperlink"/>
    <w:basedOn w:val="DefaultParagraphFont"/>
    <w:uiPriority w:val="99"/>
    <w:unhideWhenUsed/>
    <w:rsid w:val="00E929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29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1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8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18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18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8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8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8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8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8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8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E18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E18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E18A4"/>
    <w:rPr>
      <w:b/>
      <w:bCs/>
    </w:rPr>
  </w:style>
  <w:style w:type="character" w:styleId="Emphasis">
    <w:name w:val="Emphasis"/>
    <w:basedOn w:val="DefaultParagraphFont"/>
    <w:uiPriority w:val="20"/>
    <w:qFormat/>
    <w:rsid w:val="006E18A4"/>
    <w:rPr>
      <w:i/>
      <w:iCs/>
    </w:rPr>
  </w:style>
  <w:style w:type="paragraph" w:styleId="NoSpacing">
    <w:name w:val="No Spacing"/>
    <w:uiPriority w:val="1"/>
    <w:qFormat/>
    <w:rsid w:val="006E18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18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18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8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8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E18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E18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E18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18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18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8A4"/>
    <w:pPr>
      <w:outlineLvl w:val="9"/>
    </w:pPr>
  </w:style>
  <w:style w:type="paragraph" w:styleId="ListParagraph">
    <w:name w:val="List Paragraph"/>
    <w:basedOn w:val="Normal"/>
    <w:uiPriority w:val="34"/>
    <w:qFormat/>
    <w:rsid w:val="00ED7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8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6F"/>
  </w:style>
  <w:style w:type="paragraph" w:styleId="Footer">
    <w:name w:val="footer"/>
    <w:basedOn w:val="Normal"/>
    <w:link w:val="FooterChar"/>
    <w:uiPriority w:val="99"/>
    <w:unhideWhenUsed/>
    <w:rsid w:val="00706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6F"/>
  </w:style>
  <w:style w:type="character" w:styleId="UnresolvedMention">
    <w:name w:val="Unresolved Mention"/>
    <w:basedOn w:val="DefaultParagraphFont"/>
    <w:uiPriority w:val="99"/>
    <w:semiHidden/>
    <w:unhideWhenUsed/>
    <w:rsid w:val="000F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284">
          <w:marLeft w:val="0"/>
          <w:marRight w:val="0"/>
          <w:marTop w:val="0"/>
          <w:marBottom w:val="0"/>
          <w:divBdr>
            <w:top w:val="single" w:sz="18" w:space="0" w:color="3E72A6"/>
            <w:left w:val="single" w:sz="18" w:space="0" w:color="3E72A6"/>
            <w:bottom w:val="single" w:sz="18" w:space="0" w:color="3E72A6"/>
            <w:right w:val="single" w:sz="18" w:space="0" w:color="3E72A6"/>
          </w:divBdr>
          <w:divsChild>
            <w:div w:id="7608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health-literacy/improve/precautions/index.html" TargetMode="External"/><Relationship Id="rId13" Type="http://schemas.openxmlformats.org/officeDocument/2006/relationships/hyperlink" Target="https://medlineplus.gov/" TargetMode="External"/><Relationship Id="rId18" Type="http://schemas.openxmlformats.org/officeDocument/2006/relationships/hyperlink" Target="https://www.ihs.gov/" TargetMode="External"/><Relationship Id="rId26" Type="http://schemas.openxmlformats.org/officeDocument/2006/relationships/hyperlink" Target="https://www.cdc.gov/ccindex/everydaywords/index.html" TargetMode="External"/><Relationship Id="rId39" Type="http://schemas.openxmlformats.org/officeDocument/2006/relationships/hyperlink" Target="https://www.ahrq.gov/health-literacy/professional-training/shared-decision/tool/resource-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es.ed.gov/pubsearch/pubsinfo.asp?pubid=93275" TargetMode="External"/><Relationship Id="rId34" Type="http://schemas.openxmlformats.org/officeDocument/2006/relationships/hyperlink" Target="https://fpg.unc.edu/publications/removing-barriers-tips-and-strategies-promote-accessible-communication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aspiruslibrary.org/literacy/sam.pdf" TargetMode="External"/><Relationship Id="rId17" Type="http://schemas.openxmlformats.org/officeDocument/2006/relationships/hyperlink" Target="https://www.ihs.gov/" TargetMode="External"/><Relationship Id="rId25" Type="http://schemas.openxmlformats.org/officeDocument/2006/relationships/hyperlink" Target="https://www.cdc.gov/ccindex/everydaywords/index.html" TargetMode="External"/><Relationship Id="rId33" Type="http://schemas.openxmlformats.org/officeDocument/2006/relationships/hyperlink" Target="https://archive.ada.gov/pcatoolkit/chap3toolkit.htm" TargetMode="External"/><Relationship Id="rId38" Type="http://schemas.openxmlformats.org/officeDocument/2006/relationships/hyperlink" Target="https://www.ahrq.gov/health-literacy/professional-training/shared-decision/tool/resource-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hnomed.org/" TargetMode="External"/><Relationship Id="rId20" Type="http://schemas.openxmlformats.org/officeDocument/2006/relationships/hyperlink" Target="https://nces.ed.gov/naal/index.asp" TargetMode="External"/><Relationship Id="rId29" Type="http://schemas.openxmlformats.org/officeDocument/2006/relationships/hyperlink" Target="https://stacks.cdc.gov/view/cdc/11500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ph.harvard.edu/healthliteracy/resources/teaching-patients-with-low-literacy-skills/" TargetMode="External"/><Relationship Id="rId24" Type="http://schemas.openxmlformats.org/officeDocument/2006/relationships/hyperlink" Target="https://www.ahrq.gov/downloads/pub/evidence/pdf/literacy/literacyup.pdf" TargetMode="External"/><Relationship Id="rId32" Type="http://schemas.openxmlformats.org/officeDocument/2006/relationships/hyperlink" Target="https://archive.ada.gov/pcatoolkit/chap3toolkit.htm" TargetMode="External"/><Relationship Id="rId37" Type="http://schemas.openxmlformats.org/officeDocument/2006/relationships/hyperlink" Target="https://wave.webaim.org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thnomed.org/" TargetMode="External"/><Relationship Id="rId23" Type="http://schemas.openxmlformats.org/officeDocument/2006/relationships/hyperlink" Target="https://www.ahrq.gov/downloads/pub/evidence/pdf/literacy/literacyup.pdf" TargetMode="External"/><Relationship Id="rId28" Type="http://schemas.openxmlformats.org/officeDocument/2006/relationships/hyperlink" Target="https://www.plainlanguage.gov/guidelines/" TargetMode="External"/><Relationship Id="rId36" Type="http://schemas.openxmlformats.org/officeDocument/2006/relationships/hyperlink" Target="https://wave.webaim.org/" TargetMode="External"/><Relationship Id="rId10" Type="http://schemas.openxmlformats.org/officeDocument/2006/relationships/hyperlink" Target="https://www.hsph.harvard.edu/healthliteracy/resources/teaching-patients-with-low-literacy-skills/" TargetMode="External"/><Relationship Id="rId19" Type="http://schemas.openxmlformats.org/officeDocument/2006/relationships/hyperlink" Target="https://health.gov/healthypeople/priority-areas/health-literacy-healthy-people-2030" TargetMode="External"/><Relationship Id="rId31" Type="http://schemas.openxmlformats.org/officeDocument/2006/relationships/hyperlink" Target="https://www.ahrq.gov/patient-safety/reports/engage/teachba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health-literacy/improve/precautions/index.html" TargetMode="External"/><Relationship Id="rId14" Type="http://schemas.openxmlformats.org/officeDocument/2006/relationships/hyperlink" Target="http://www.nlm.nih.gov/medlineplus/" TargetMode="External"/><Relationship Id="rId22" Type="http://schemas.openxmlformats.org/officeDocument/2006/relationships/hyperlink" Target="https://www.ncbi.nlm.nih.gov/books/NBK216036/" TargetMode="External"/><Relationship Id="rId27" Type="http://schemas.openxmlformats.org/officeDocument/2006/relationships/hyperlink" Target="https://www.plainlanguage.gov/guidelines/" TargetMode="External"/><Relationship Id="rId30" Type="http://schemas.openxmlformats.org/officeDocument/2006/relationships/hyperlink" Target="https://stacks.cdc.gov/view/cdc/11500" TargetMode="External"/><Relationship Id="rId35" Type="http://schemas.openxmlformats.org/officeDocument/2006/relationships/hyperlink" Target="https://fpg.unc.edu/publications/removing-barriers-tips-and-strategies-promote-accessible-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2023-10-24T17:52:00Z</dcterms:created>
  <dcterms:modified xsi:type="dcterms:W3CDTF">2023-10-24T18:00:00Z</dcterms:modified>
</cp:coreProperties>
</file>